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88984D">
      <w:pPr>
        <w:snapToGrid w:val="0"/>
        <w:spacing w:line="580" w:lineRule="exact"/>
        <w:jc w:val="center"/>
        <w:rPr>
          <w:rFonts w:hint="eastAsia" w:ascii="宋体" w:hAnsi="宋体" w:eastAsia="方正小标宋_GBK" w:cs="宋体"/>
          <w:b/>
          <w:sz w:val="24"/>
          <w:lang w:eastAsia="zh-CN"/>
        </w:rPr>
      </w:pPr>
      <w:r>
        <w:rPr>
          <w:rFonts w:hint="eastAsia" w:ascii="方正小标宋_GBK" w:hAnsi="方正小标宋_GBK" w:eastAsia="方正小标宋_GBK" w:cs="方正小标宋_GBK"/>
          <w:color w:val="000000"/>
          <w:sz w:val="44"/>
          <w:szCs w:val="44"/>
        </w:rPr>
        <w:t>南京市旅行箱包质量监督抽查实施细则</w:t>
      </w:r>
      <w:r>
        <w:rPr>
          <w:rFonts w:hint="eastAsia" w:ascii="方正小标宋_GBK" w:hAnsi="方正小标宋_GBK" w:eastAsia="方正小标宋_GBK" w:cs="方正小标宋_GBK"/>
          <w:color w:val="000000"/>
          <w:sz w:val="44"/>
          <w:szCs w:val="44"/>
          <w:lang w:eastAsia="zh-CN"/>
        </w:rPr>
        <w:t>（</w:t>
      </w:r>
      <w:r>
        <w:rPr>
          <w:rFonts w:hint="eastAsia" w:ascii="方正小标宋_GBK" w:hAnsi="方正小标宋_GBK" w:eastAsia="方正小标宋_GBK" w:cs="方正小标宋_GBK"/>
          <w:color w:val="000000"/>
          <w:sz w:val="44"/>
          <w:szCs w:val="44"/>
        </w:rPr>
        <w:t>202</w:t>
      </w:r>
      <w:r>
        <w:rPr>
          <w:rFonts w:hint="eastAsia" w:ascii="方正小标宋_GBK" w:hAnsi="方正小标宋_GBK" w:eastAsia="方正小标宋_GBK" w:cs="方正小标宋_GBK"/>
          <w:color w:val="000000"/>
          <w:sz w:val="44"/>
          <w:szCs w:val="44"/>
          <w:lang w:val="en-US" w:eastAsia="zh-CN"/>
        </w:rPr>
        <w:t>6</w:t>
      </w:r>
      <w:r>
        <w:rPr>
          <w:rFonts w:hint="eastAsia" w:ascii="方正小标宋_GBK" w:hAnsi="方正小标宋_GBK" w:eastAsia="方正小标宋_GBK" w:cs="方正小标宋_GBK"/>
          <w:color w:val="000000"/>
          <w:sz w:val="44"/>
          <w:szCs w:val="44"/>
        </w:rPr>
        <w:t>年</w:t>
      </w:r>
      <w:r>
        <w:rPr>
          <w:rFonts w:hint="eastAsia" w:ascii="方正小标宋_GBK" w:hAnsi="方正小标宋_GBK" w:eastAsia="方正小标宋_GBK" w:cs="方正小标宋_GBK"/>
          <w:color w:val="000000"/>
          <w:sz w:val="44"/>
          <w:szCs w:val="44"/>
          <w:lang w:val="en-US" w:eastAsia="zh-CN"/>
        </w:rPr>
        <w:t>版</w:t>
      </w:r>
      <w:r>
        <w:rPr>
          <w:rFonts w:hint="eastAsia" w:ascii="方正小标宋_GBK" w:hAnsi="方正小标宋_GBK" w:eastAsia="方正小标宋_GBK" w:cs="方正小标宋_GBK"/>
          <w:color w:val="000000"/>
          <w:sz w:val="44"/>
          <w:szCs w:val="44"/>
          <w:lang w:eastAsia="zh-CN"/>
        </w:rPr>
        <w:t>）</w:t>
      </w:r>
    </w:p>
    <w:p w14:paraId="4BD5274E">
      <w:pPr>
        <w:spacing w:line="560" w:lineRule="exact"/>
        <w:ind w:firstLine="482" w:firstLineChars="200"/>
        <w:rPr>
          <w:rFonts w:hint="eastAsia" w:cs="Times New Roman" w:asciiTheme="minorEastAsia" w:hAnsiTheme="minorEastAsia" w:eastAsiaTheme="minorEastAsia"/>
          <w:b/>
          <w:bCs/>
          <w:sz w:val="24"/>
          <w:lang w:eastAsia="zh-CN"/>
        </w:rPr>
      </w:pPr>
      <w:r>
        <w:rPr>
          <w:rFonts w:hint="eastAsia" w:cs="Times New Roman" w:asciiTheme="minorEastAsia" w:hAnsiTheme="minorEastAsia" w:eastAsiaTheme="minorEastAsia"/>
          <w:b/>
          <w:bCs/>
          <w:sz w:val="24"/>
          <w:lang w:eastAsia="zh-CN"/>
        </w:rPr>
        <w:t>1.范围</w:t>
      </w:r>
    </w:p>
    <w:p w14:paraId="757F5162">
      <w:pPr>
        <w:spacing w:line="560" w:lineRule="exact"/>
        <w:ind w:firstLine="480" w:firstLineChars="200"/>
        <w:rPr>
          <w:rFonts w:hint="eastAsia" w:ascii="方正仿宋_GBK" w:hAnsi="方正仿宋_GBK" w:eastAsia="方正仿宋_GBK" w:cs="方正仿宋_GBK"/>
          <w:sz w:val="32"/>
          <w:szCs w:val="32"/>
          <w:lang w:eastAsia="zh-CN"/>
        </w:rPr>
      </w:pPr>
      <w:r>
        <w:rPr>
          <w:rFonts w:hint="eastAsia" w:cs="方正仿宋_GBK" w:asciiTheme="minorEastAsia" w:hAnsiTheme="minorEastAsia" w:eastAsiaTheme="minorEastAsia"/>
          <w:sz w:val="24"/>
          <w:lang w:eastAsia="zh-CN"/>
        </w:rPr>
        <w:t>本细则适用于南京市市场监督管理局组织的旅行箱包产品质量监督抽查检验。本细则规定了此产品的抽样方法、检验依据、检验项目、检验方法、判定原则、异议处理及复检。</w:t>
      </w:r>
    </w:p>
    <w:p w14:paraId="715946A6">
      <w:pPr>
        <w:spacing w:line="560" w:lineRule="exact"/>
        <w:ind w:firstLine="482" w:firstLineChars="200"/>
        <w:rPr>
          <w:rFonts w:hint="eastAsia" w:cs="Times New Roman" w:asciiTheme="minorEastAsia" w:hAnsiTheme="minorEastAsia" w:eastAsiaTheme="minorEastAsia"/>
          <w:b/>
          <w:bCs/>
          <w:sz w:val="24"/>
          <w:lang w:eastAsia="zh-CN"/>
        </w:rPr>
      </w:pPr>
      <w:r>
        <w:rPr>
          <w:rFonts w:hint="eastAsia" w:cs="Times New Roman" w:asciiTheme="minorEastAsia" w:hAnsiTheme="minorEastAsia" w:eastAsiaTheme="minorEastAsia"/>
          <w:b/>
          <w:bCs/>
          <w:sz w:val="24"/>
          <w:lang w:eastAsia="zh-CN"/>
        </w:rPr>
        <w:t>2.抽样方法</w:t>
      </w:r>
    </w:p>
    <w:p w14:paraId="59D8CCEA">
      <w:pPr>
        <w:spacing w:line="560" w:lineRule="exact"/>
        <w:ind w:firstLine="482" w:firstLineChars="200"/>
        <w:rPr>
          <w:rFonts w:hint="eastAsia" w:cs="Times New Roman" w:asciiTheme="minorEastAsia" w:hAnsiTheme="minorEastAsia" w:eastAsiaTheme="minorEastAsia"/>
          <w:b/>
          <w:bCs/>
          <w:sz w:val="24"/>
          <w:lang w:eastAsia="zh-CN"/>
        </w:rPr>
      </w:pPr>
      <w:r>
        <w:rPr>
          <w:rFonts w:hint="eastAsia" w:cs="Times New Roman" w:asciiTheme="minorEastAsia" w:hAnsiTheme="minorEastAsia" w:eastAsiaTheme="minorEastAsia"/>
          <w:b/>
          <w:bCs/>
          <w:sz w:val="24"/>
          <w:lang w:eastAsia="zh-CN"/>
        </w:rPr>
        <w:t>2.1生产企业、实体店抽样</w:t>
      </w:r>
    </w:p>
    <w:p w14:paraId="5FFDB56A">
      <w:pPr>
        <w:spacing w:line="560" w:lineRule="exact"/>
        <w:ind w:firstLine="480" w:firstLineChars="200"/>
        <w:rPr>
          <w:rFonts w:hint="eastAsia" w:cs="方正仿宋_GBK" w:asciiTheme="minorEastAsia" w:hAnsiTheme="minorEastAsia" w:eastAsiaTheme="minorEastAsia"/>
          <w:sz w:val="24"/>
          <w:lang w:eastAsia="zh-CN"/>
        </w:rPr>
      </w:pPr>
      <w:r>
        <w:rPr>
          <w:rFonts w:hint="eastAsia" w:cs="方正仿宋_GBK" w:asciiTheme="minorEastAsia" w:hAnsiTheme="minorEastAsia" w:eastAsiaTheme="minorEastAsia"/>
          <w:sz w:val="24"/>
          <w:lang w:eastAsia="zh-CN"/>
        </w:rPr>
        <w:t>在受检企业的成品仓库或者其确</w:t>
      </w:r>
      <w:bookmarkStart w:id="0" w:name="_GoBack"/>
      <w:bookmarkEnd w:id="0"/>
      <w:r>
        <w:rPr>
          <w:rFonts w:hint="eastAsia" w:cs="方正仿宋_GBK" w:asciiTheme="minorEastAsia" w:hAnsiTheme="minorEastAsia" w:eastAsiaTheme="minorEastAsia"/>
          <w:sz w:val="24"/>
          <w:lang w:eastAsia="zh-CN"/>
        </w:rPr>
        <w:t>认场所，随机抽取有产品质量检验合格证明或者其他形式表明合格的待销产品，抽样基数应满足抽样要求。抽样过程均需拍照留证。一经抽样，立即封样，任何人不得调换。</w:t>
      </w:r>
    </w:p>
    <w:p w14:paraId="1FCE5FB7">
      <w:pPr>
        <w:spacing w:line="560" w:lineRule="exact"/>
        <w:ind w:firstLine="482" w:firstLineChars="200"/>
        <w:rPr>
          <w:rFonts w:hint="eastAsia" w:cs="Times New Roman" w:asciiTheme="minorEastAsia" w:hAnsiTheme="minorEastAsia" w:eastAsiaTheme="minorEastAsia"/>
          <w:b/>
          <w:bCs/>
          <w:sz w:val="24"/>
          <w:lang w:eastAsia="zh-CN"/>
        </w:rPr>
      </w:pPr>
      <w:r>
        <w:rPr>
          <w:rFonts w:hint="eastAsia" w:cs="Times New Roman" w:asciiTheme="minorEastAsia" w:hAnsiTheme="minorEastAsia" w:eastAsiaTheme="minorEastAsia"/>
          <w:b/>
          <w:bCs/>
          <w:sz w:val="24"/>
          <w:lang w:eastAsia="zh-CN"/>
        </w:rPr>
        <w:t>2.2电商平台采样</w:t>
      </w:r>
    </w:p>
    <w:p w14:paraId="467E5F15">
      <w:pPr>
        <w:spacing w:line="560" w:lineRule="exact"/>
        <w:ind w:firstLine="480" w:firstLineChars="200"/>
        <w:rPr>
          <w:rFonts w:hint="eastAsia" w:cs="方正仿宋_GBK" w:asciiTheme="minorEastAsia" w:hAnsiTheme="minorEastAsia" w:eastAsiaTheme="minorEastAsia"/>
          <w:sz w:val="24"/>
          <w:lang w:eastAsia="zh-CN"/>
        </w:rPr>
      </w:pPr>
      <w:r>
        <w:rPr>
          <w:rFonts w:hint="eastAsia" w:cs="方正仿宋_GBK" w:asciiTheme="minorEastAsia" w:hAnsiTheme="minorEastAsia" w:eastAsiaTheme="minorEastAsia"/>
          <w:sz w:val="24"/>
          <w:lang w:eastAsia="zh-CN"/>
        </w:rPr>
        <w:t>抽样数量为</w:t>
      </w:r>
      <w:r>
        <w:rPr>
          <w:rFonts w:hint="eastAsia" w:cs="方正仿宋_GBK" w:asciiTheme="minorEastAsia" w:hAnsiTheme="minorEastAsia" w:eastAsiaTheme="minorEastAsia"/>
          <w:sz w:val="24"/>
          <w:lang w:val="en-US" w:eastAsia="zh-CN"/>
        </w:rPr>
        <w:t>3</w:t>
      </w:r>
      <w:r>
        <w:rPr>
          <w:rFonts w:hint="eastAsia" w:cs="方正仿宋_GBK" w:asciiTheme="minorEastAsia" w:hAnsiTheme="minorEastAsia" w:eastAsiaTheme="minorEastAsia"/>
          <w:sz w:val="24"/>
          <w:lang w:eastAsia="zh-CN"/>
        </w:rPr>
        <w:t>件。</w:t>
      </w:r>
    </w:p>
    <w:p w14:paraId="21232D75">
      <w:pPr>
        <w:spacing w:line="560" w:lineRule="exact"/>
        <w:ind w:firstLine="482" w:firstLineChars="200"/>
        <w:rPr>
          <w:rFonts w:hint="eastAsia" w:cs="Times New Roman" w:asciiTheme="minorEastAsia" w:hAnsiTheme="minorEastAsia" w:eastAsiaTheme="minorEastAsia"/>
          <w:b/>
          <w:bCs/>
          <w:sz w:val="24"/>
          <w:lang w:eastAsia="zh-CN"/>
        </w:rPr>
      </w:pPr>
      <w:r>
        <w:rPr>
          <w:rFonts w:hint="eastAsia" w:cs="Times New Roman" w:asciiTheme="minorEastAsia" w:hAnsiTheme="minorEastAsia" w:eastAsiaTheme="minorEastAsia"/>
          <w:b/>
          <w:bCs/>
          <w:sz w:val="24"/>
          <w:lang w:eastAsia="zh-CN"/>
        </w:rPr>
        <w:t>3.检验依据</w:t>
      </w:r>
    </w:p>
    <w:p w14:paraId="54EB06F6">
      <w:pPr>
        <w:adjustRightInd w:val="0"/>
        <w:snapToGrid w:val="0"/>
        <w:spacing w:line="360" w:lineRule="auto"/>
        <w:jc w:val="center"/>
        <w:rPr>
          <w:rFonts w:hint="eastAsia" w:cs="方正仿宋_GBK" w:asciiTheme="minorEastAsia" w:hAnsiTheme="minorEastAsia" w:eastAsiaTheme="minorEastAsia"/>
          <w:sz w:val="24"/>
        </w:rPr>
      </w:pPr>
      <w:r>
        <w:rPr>
          <w:rFonts w:hint="eastAsia" w:cs="方正仿宋_GBK" w:asciiTheme="minorEastAsia" w:hAnsiTheme="minorEastAsia" w:eastAsiaTheme="minorEastAsia"/>
          <w:sz w:val="24"/>
        </w:rPr>
        <w:t>表5-1 旅行箱检验项目（QB/T2155-2018）</w:t>
      </w:r>
    </w:p>
    <w:tbl>
      <w:tblPr>
        <w:tblStyle w:val="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552"/>
        <w:gridCol w:w="2509"/>
        <w:gridCol w:w="2719"/>
        <w:gridCol w:w="2579"/>
      </w:tblGrid>
      <w:tr w14:paraId="2A6F6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tblHeader/>
          <w:jc w:val="center"/>
        </w:trPr>
        <w:tc>
          <w:tcPr>
            <w:tcW w:w="330" w:type="pct"/>
            <w:vAlign w:val="center"/>
          </w:tcPr>
          <w:p w14:paraId="4B3373AF">
            <w:pPr>
              <w:widowControl w:val="0"/>
              <w:adjustRightInd w:val="0"/>
              <w:snapToGrid w:val="0"/>
              <w:spacing w:line="240" w:lineRule="auto"/>
              <w:jc w:val="center"/>
              <w:rPr>
                <w:rFonts w:hint="eastAsia" w:ascii="宋体" w:hAnsi="宋体" w:eastAsia="宋体" w:cs="Times New Roman"/>
                <w:kern w:val="2"/>
                <w:sz w:val="21"/>
                <w:szCs w:val="21"/>
                <w:lang w:val="en-US" w:eastAsia="zh-CN"/>
              </w:rPr>
            </w:pPr>
            <w:r>
              <w:rPr>
                <w:rFonts w:hint="eastAsia" w:ascii="宋体" w:hAnsi="宋体" w:eastAsia="宋体" w:cs="Times New Roman"/>
                <w:kern w:val="2"/>
                <w:sz w:val="21"/>
                <w:szCs w:val="21"/>
                <w:lang w:val="en-US" w:eastAsia="zh-CN"/>
              </w:rPr>
              <w:t>序号</w:t>
            </w:r>
          </w:p>
        </w:tc>
        <w:tc>
          <w:tcPr>
            <w:tcW w:w="1500" w:type="pct"/>
            <w:vAlign w:val="center"/>
          </w:tcPr>
          <w:p w14:paraId="3B8B8CF0">
            <w:pPr>
              <w:widowControl w:val="0"/>
              <w:adjustRightInd w:val="0"/>
              <w:snapToGrid w:val="0"/>
              <w:spacing w:line="240" w:lineRule="auto"/>
              <w:jc w:val="center"/>
              <w:rPr>
                <w:rFonts w:hint="eastAsia" w:ascii="宋体" w:hAnsi="宋体" w:eastAsia="宋体" w:cs="Times New Roman"/>
                <w:kern w:val="2"/>
                <w:sz w:val="21"/>
                <w:szCs w:val="21"/>
                <w:lang w:val="en-US" w:eastAsia="zh-CN"/>
              </w:rPr>
            </w:pPr>
            <w:r>
              <w:rPr>
                <w:rFonts w:hint="eastAsia" w:ascii="宋体" w:hAnsi="宋体" w:eastAsia="宋体" w:cs="Times New Roman"/>
                <w:kern w:val="2"/>
                <w:sz w:val="21"/>
                <w:szCs w:val="21"/>
                <w:lang w:val="en-US" w:eastAsia="zh-CN"/>
              </w:rPr>
              <w:t>检验</w:t>
            </w:r>
            <w:r>
              <w:rPr>
                <w:rFonts w:hint="eastAsia" w:ascii="宋体" w:hAnsi="宋体" w:cs="Times New Roman"/>
                <w:kern w:val="2"/>
                <w:sz w:val="21"/>
                <w:szCs w:val="21"/>
                <w:lang w:val="en-US" w:eastAsia="zh-CN"/>
              </w:rPr>
              <w:t>检测</w:t>
            </w:r>
            <w:r>
              <w:rPr>
                <w:rFonts w:hint="eastAsia" w:ascii="宋体" w:hAnsi="宋体" w:eastAsia="宋体" w:cs="Times New Roman"/>
                <w:kern w:val="2"/>
                <w:sz w:val="21"/>
                <w:szCs w:val="21"/>
                <w:lang w:val="en-US" w:eastAsia="zh-CN"/>
              </w:rPr>
              <w:t>项目</w:t>
            </w:r>
          </w:p>
        </w:tc>
        <w:tc>
          <w:tcPr>
            <w:tcW w:w="1626" w:type="pct"/>
            <w:vAlign w:val="center"/>
          </w:tcPr>
          <w:p w14:paraId="0A73E313">
            <w:pPr>
              <w:widowControl w:val="0"/>
              <w:adjustRightInd w:val="0"/>
              <w:snapToGrid w:val="0"/>
              <w:spacing w:line="240" w:lineRule="auto"/>
              <w:jc w:val="center"/>
              <w:rPr>
                <w:rFonts w:hint="eastAsia" w:ascii="宋体" w:hAnsi="宋体" w:eastAsia="宋体" w:cs="Times New Roman"/>
                <w:kern w:val="2"/>
                <w:sz w:val="21"/>
                <w:szCs w:val="21"/>
                <w:lang w:val="en-US" w:eastAsia="zh-CN"/>
              </w:rPr>
            </w:pPr>
            <w:r>
              <w:rPr>
                <w:rFonts w:hint="eastAsia" w:ascii="宋体" w:hAnsi="宋体" w:eastAsia="宋体" w:cs="Times New Roman"/>
                <w:kern w:val="2"/>
                <w:sz w:val="21"/>
                <w:szCs w:val="21"/>
                <w:lang w:val="en-US" w:eastAsia="zh-CN"/>
              </w:rPr>
              <w:t>检验</w:t>
            </w:r>
            <w:r>
              <w:rPr>
                <w:rFonts w:hint="eastAsia" w:ascii="宋体" w:hAnsi="宋体" w:cs="Times New Roman"/>
                <w:kern w:val="2"/>
                <w:sz w:val="21"/>
                <w:szCs w:val="21"/>
                <w:lang w:val="en-US" w:eastAsia="zh-CN"/>
              </w:rPr>
              <w:t>检测</w:t>
            </w:r>
            <w:r>
              <w:rPr>
                <w:rFonts w:hint="eastAsia" w:ascii="宋体" w:hAnsi="宋体" w:eastAsia="宋体" w:cs="Times New Roman"/>
                <w:kern w:val="2"/>
                <w:sz w:val="21"/>
                <w:szCs w:val="21"/>
                <w:lang w:val="en-US" w:eastAsia="zh-CN"/>
              </w:rPr>
              <w:t>依据</w:t>
            </w:r>
          </w:p>
        </w:tc>
        <w:tc>
          <w:tcPr>
            <w:tcW w:w="1542" w:type="pct"/>
            <w:vAlign w:val="center"/>
          </w:tcPr>
          <w:p w14:paraId="1345D7C8">
            <w:pPr>
              <w:widowControl w:val="0"/>
              <w:adjustRightInd w:val="0"/>
              <w:snapToGrid w:val="0"/>
              <w:spacing w:line="240" w:lineRule="auto"/>
              <w:jc w:val="center"/>
              <w:rPr>
                <w:rFonts w:hint="eastAsia" w:ascii="宋体" w:hAnsi="宋体" w:eastAsia="宋体" w:cs="Times New Roman"/>
                <w:kern w:val="2"/>
                <w:sz w:val="21"/>
                <w:szCs w:val="21"/>
                <w:lang w:val="en-US" w:eastAsia="zh-CN"/>
              </w:rPr>
            </w:pPr>
            <w:r>
              <w:rPr>
                <w:rFonts w:hint="eastAsia" w:ascii="宋体" w:hAnsi="宋体" w:eastAsia="宋体" w:cs="Times New Roman"/>
                <w:kern w:val="2"/>
                <w:sz w:val="21"/>
                <w:szCs w:val="21"/>
                <w:lang w:val="en-US" w:eastAsia="zh-CN"/>
              </w:rPr>
              <w:t>检验检测方法</w:t>
            </w:r>
          </w:p>
        </w:tc>
      </w:tr>
      <w:tr w14:paraId="666B9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330" w:type="pct"/>
            <w:vAlign w:val="center"/>
          </w:tcPr>
          <w:p w14:paraId="10DAD7D6">
            <w:pPr>
              <w:widowControl w:val="0"/>
              <w:adjustRightInd w:val="0"/>
              <w:snapToGrid w:val="0"/>
              <w:spacing w:line="240" w:lineRule="auto"/>
              <w:jc w:val="center"/>
              <w:rPr>
                <w:rFonts w:hint="eastAsia" w:ascii="宋体" w:hAnsi="宋体" w:eastAsia="宋体" w:cs="Times New Roman"/>
                <w:kern w:val="2"/>
                <w:sz w:val="21"/>
                <w:szCs w:val="21"/>
                <w:lang w:val="en-US" w:eastAsia="zh-CN"/>
              </w:rPr>
            </w:pPr>
            <w:r>
              <w:rPr>
                <w:rFonts w:hint="eastAsia" w:ascii="宋体" w:hAnsi="宋体" w:eastAsia="宋体" w:cs="Times New Roman"/>
                <w:kern w:val="2"/>
                <w:sz w:val="21"/>
                <w:szCs w:val="21"/>
                <w:lang w:val="en-US" w:eastAsia="zh-CN"/>
              </w:rPr>
              <w:t>1</w:t>
            </w:r>
          </w:p>
        </w:tc>
        <w:tc>
          <w:tcPr>
            <w:tcW w:w="1500" w:type="pct"/>
            <w:shd w:val="clear" w:color="auto" w:fill="auto"/>
            <w:vAlign w:val="center"/>
          </w:tcPr>
          <w:p w14:paraId="3A30538C">
            <w:pPr>
              <w:widowControl w:val="0"/>
              <w:adjustRightInd w:val="0"/>
              <w:snapToGrid w:val="0"/>
              <w:spacing w:line="240" w:lineRule="auto"/>
              <w:jc w:val="center"/>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rPr>
              <w:t>拉杆耐疲劳性能</w:t>
            </w:r>
          </w:p>
        </w:tc>
        <w:tc>
          <w:tcPr>
            <w:tcW w:w="1626" w:type="pct"/>
            <w:shd w:val="clear" w:color="auto" w:fill="auto"/>
            <w:vAlign w:val="center"/>
          </w:tcPr>
          <w:p w14:paraId="3A75A669">
            <w:pPr>
              <w:widowControl w:val="0"/>
              <w:adjustRightInd w:val="0"/>
              <w:snapToGrid w:val="0"/>
              <w:spacing w:line="240" w:lineRule="auto"/>
              <w:jc w:val="center"/>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rPr>
              <w:t>QB/T 2155-2018</w:t>
            </w:r>
          </w:p>
        </w:tc>
        <w:tc>
          <w:tcPr>
            <w:tcW w:w="1542" w:type="pct"/>
            <w:shd w:val="clear" w:color="auto" w:fill="auto"/>
            <w:vAlign w:val="center"/>
          </w:tcPr>
          <w:p w14:paraId="497A76F1">
            <w:pPr>
              <w:widowControl w:val="0"/>
              <w:adjustRightInd w:val="0"/>
              <w:snapToGrid w:val="0"/>
              <w:spacing w:line="240" w:lineRule="auto"/>
              <w:jc w:val="center"/>
              <w:rPr>
                <w:rFonts w:hint="default" w:ascii="宋体" w:hAnsi="宋体" w:eastAsia="宋体" w:cs="Times New Roman"/>
                <w:kern w:val="2"/>
                <w:sz w:val="21"/>
                <w:szCs w:val="21"/>
                <w:lang w:val="en-US" w:eastAsia="zh-CN" w:bidi="ar-SA"/>
              </w:rPr>
            </w:pPr>
            <w:r>
              <w:rPr>
                <w:rFonts w:hint="eastAsia" w:ascii="宋体" w:hAnsi="宋体" w:eastAsia="宋体" w:cs="Times New Roman"/>
                <w:kern w:val="2"/>
                <w:sz w:val="21"/>
                <w:szCs w:val="21"/>
              </w:rPr>
              <w:t>QB/T 2919-2018</w:t>
            </w:r>
          </w:p>
        </w:tc>
      </w:tr>
      <w:tr w14:paraId="07B2C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330" w:type="pct"/>
            <w:vAlign w:val="center"/>
          </w:tcPr>
          <w:p w14:paraId="30B98B73">
            <w:pPr>
              <w:widowControl w:val="0"/>
              <w:adjustRightInd w:val="0"/>
              <w:snapToGrid w:val="0"/>
              <w:spacing w:line="240" w:lineRule="auto"/>
              <w:jc w:val="center"/>
              <w:rPr>
                <w:rFonts w:hint="eastAsia" w:ascii="宋体" w:hAnsi="宋体" w:eastAsia="宋体" w:cs="Times New Roman"/>
                <w:kern w:val="2"/>
                <w:sz w:val="21"/>
                <w:szCs w:val="21"/>
                <w:lang w:val="en-US" w:eastAsia="zh-CN"/>
              </w:rPr>
            </w:pPr>
            <w:r>
              <w:rPr>
                <w:rFonts w:hint="eastAsia" w:ascii="宋体" w:hAnsi="宋体" w:eastAsia="宋体" w:cs="Times New Roman"/>
                <w:kern w:val="2"/>
                <w:sz w:val="21"/>
                <w:szCs w:val="21"/>
                <w:lang w:val="en-US" w:eastAsia="zh-CN"/>
              </w:rPr>
              <w:t>2</w:t>
            </w:r>
          </w:p>
        </w:tc>
        <w:tc>
          <w:tcPr>
            <w:tcW w:w="1500" w:type="pct"/>
            <w:shd w:val="clear" w:color="auto" w:fill="auto"/>
            <w:vAlign w:val="center"/>
          </w:tcPr>
          <w:p w14:paraId="293854FB">
            <w:pPr>
              <w:widowControl w:val="0"/>
              <w:adjustRightInd w:val="0"/>
              <w:snapToGrid w:val="0"/>
              <w:spacing w:line="240" w:lineRule="auto"/>
              <w:jc w:val="center"/>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rPr>
              <w:t>行走性能</w:t>
            </w:r>
          </w:p>
        </w:tc>
        <w:tc>
          <w:tcPr>
            <w:tcW w:w="1626" w:type="pct"/>
            <w:shd w:val="clear" w:color="auto" w:fill="auto"/>
            <w:vAlign w:val="center"/>
          </w:tcPr>
          <w:p w14:paraId="0CA60D65">
            <w:pPr>
              <w:widowControl w:val="0"/>
              <w:adjustRightInd w:val="0"/>
              <w:snapToGrid w:val="0"/>
              <w:spacing w:line="240" w:lineRule="auto"/>
              <w:jc w:val="center"/>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rPr>
              <w:t>QB/T 2155—2018</w:t>
            </w:r>
          </w:p>
        </w:tc>
        <w:tc>
          <w:tcPr>
            <w:tcW w:w="1542" w:type="pct"/>
            <w:shd w:val="clear" w:color="auto" w:fill="auto"/>
            <w:vAlign w:val="center"/>
          </w:tcPr>
          <w:p w14:paraId="74CA20FA">
            <w:pPr>
              <w:widowControl w:val="0"/>
              <w:adjustRightInd w:val="0"/>
              <w:snapToGrid w:val="0"/>
              <w:spacing w:line="240" w:lineRule="auto"/>
              <w:jc w:val="center"/>
              <w:rPr>
                <w:rFonts w:hint="default" w:ascii="宋体" w:hAnsi="宋体" w:eastAsia="宋体" w:cs="Times New Roman"/>
                <w:kern w:val="2"/>
                <w:sz w:val="21"/>
                <w:szCs w:val="21"/>
                <w:lang w:val="en-US" w:eastAsia="zh-CN" w:bidi="ar-SA"/>
              </w:rPr>
            </w:pPr>
            <w:r>
              <w:rPr>
                <w:rFonts w:hint="eastAsia" w:ascii="宋体" w:hAnsi="宋体" w:eastAsia="宋体" w:cs="Times New Roman"/>
                <w:kern w:val="2"/>
                <w:sz w:val="21"/>
                <w:szCs w:val="21"/>
              </w:rPr>
              <w:t>QB/T 2920—2018</w:t>
            </w:r>
          </w:p>
        </w:tc>
      </w:tr>
      <w:tr w14:paraId="1C7EE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330" w:type="pct"/>
            <w:vAlign w:val="center"/>
          </w:tcPr>
          <w:p w14:paraId="5117A207">
            <w:pPr>
              <w:widowControl w:val="0"/>
              <w:adjustRightInd w:val="0"/>
              <w:snapToGrid w:val="0"/>
              <w:spacing w:line="240" w:lineRule="auto"/>
              <w:jc w:val="center"/>
              <w:rPr>
                <w:rFonts w:hint="eastAsia" w:ascii="宋体" w:hAnsi="宋体" w:eastAsia="宋体" w:cs="Times New Roman"/>
                <w:kern w:val="2"/>
                <w:sz w:val="21"/>
                <w:szCs w:val="21"/>
                <w:lang w:val="en-US" w:eastAsia="zh-CN"/>
              </w:rPr>
            </w:pPr>
            <w:r>
              <w:rPr>
                <w:rFonts w:hint="eastAsia" w:ascii="宋体" w:hAnsi="宋体" w:eastAsia="宋体" w:cs="Times New Roman"/>
                <w:kern w:val="2"/>
                <w:sz w:val="21"/>
                <w:szCs w:val="21"/>
                <w:lang w:val="en-US" w:eastAsia="zh-CN"/>
              </w:rPr>
              <w:t>3</w:t>
            </w:r>
          </w:p>
        </w:tc>
        <w:tc>
          <w:tcPr>
            <w:tcW w:w="1500" w:type="pct"/>
            <w:shd w:val="clear" w:color="auto" w:fill="auto"/>
            <w:vAlign w:val="center"/>
          </w:tcPr>
          <w:p w14:paraId="43135FA0">
            <w:pPr>
              <w:widowControl w:val="0"/>
              <w:adjustRightInd w:val="0"/>
              <w:snapToGrid w:val="0"/>
              <w:spacing w:line="240" w:lineRule="auto"/>
              <w:jc w:val="center"/>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rPr>
              <w:t>振荡冲击性能</w:t>
            </w:r>
          </w:p>
        </w:tc>
        <w:tc>
          <w:tcPr>
            <w:tcW w:w="1626" w:type="pct"/>
            <w:shd w:val="clear" w:color="auto" w:fill="auto"/>
            <w:vAlign w:val="center"/>
          </w:tcPr>
          <w:p w14:paraId="1670FC14">
            <w:pPr>
              <w:widowControl w:val="0"/>
              <w:adjustRightInd w:val="0"/>
              <w:snapToGrid w:val="0"/>
              <w:spacing w:line="240" w:lineRule="auto"/>
              <w:jc w:val="center"/>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rPr>
              <w:t>QB/T 2155-2018</w:t>
            </w:r>
          </w:p>
        </w:tc>
        <w:tc>
          <w:tcPr>
            <w:tcW w:w="1542" w:type="pct"/>
            <w:shd w:val="clear" w:color="auto" w:fill="auto"/>
            <w:vAlign w:val="center"/>
          </w:tcPr>
          <w:p w14:paraId="4D4B4E88">
            <w:pPr>
              <w:widowControl w:val="0"/>
              <w:adjustRightInd w:val="0"/>
              <w:snapToGrid w:val="0"/>
              <w:spacing w:line="240" w:lineRule="auto"/>
              <w:jc w:val="center"/>
              <w:rPr>
                <w:rFonts w:hint="default" w:ascii="宋体" w:hAnsi="宋体" w:eastAsia="宋体" w:cs="Times New Roman"/>
                <w:kern w:val="2"/>
                <w:sz w:val="21"/>
                <w:szCs w:val="21"/>
                <w:lang w:val="en-US" w:eastAsia="zh-CN" w:bidi="ar-SA"/>
              </w:rPr>
            </w:pPr>
            <w:r>
              <w:rPr>
                <w:rFonts w:hint="eastAsia" w:ascii="宋体" w:hAnsi="宋体" w:eastAsia="宋体" w:cs="Times New Roman"/>
                <w:kern w:val="2"/>
                <w:sz w:val="21"/>
                <w:szCs w:val="21"/>
              </w:rPr>
              <w:t>QB/T 2922-2018</w:t>
            </w:r>
          </w:p>
        </w:tc>
      </w:tr>
      <w:tr w14:paraId="44677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330" w:type="pct"/>
            <w:vAlign w:val="center"/>
          </w:tcPr>
          <w:p w14:paraId="38E75B0C">
            <w:pPr>
              <w:widowControl w:val="0"/>
              <w:adjustRightInd w:val="0"/>
              <w:snapToGrid w:val="0"/>
              <w:spacing w:line="240" w:lineRule="auto"/>
              <w:jc w:val="center"/>
              <w:rPr>
                <w:rFonts w:hint="eastAsia" w:ascii="宋体" w:hAnsi="宋体" w:eastAsia="宋体" w:cs="Times New Roman"/>
                <w:kern w:val="2"/>
                <w:sz w:val="21"/>
                <w:szCs w:val="21"/>
                <w:lang w:val="en-US" w:eastAsia="zh-CN"/>
              </w:rPr>
            </w:pPr>
            <w:r>
              <w:rPr>
                <w:rFonts w:hint="eastAsia" w:ascii="宋体" w:hAnsi="宋体" w:eastAsia="宋体" w:cs="Times New Roman"/>
                <w:kern w:val="2"/>
                <w:sz w:val="21"/>
                <w:szCs w:val="21"/>
                <w:lang w:val="en-US" w:eastAsia="zh-CN"/>
              </w:rPr>
              <w:t>4</w:t>
            </w:r>
          </w:p>
        </w:tc>
        <w:tc>
          <w:tcPr>
            <w:tcW w:w="1500" w:type="pct"/>
            <w:shd w:val="clear" w:color="auto" w:fill="auto"/>
            <w:vAlign w:val="center"/>
          </w:tcPr>
          <w:p w14:paraId="22EAEB6D">
            <w:pPr>
              <w:widowControl w:val="0"/>
              <w:adjustRightInd w:val="0"/>
              <w:snapToGrid w:val="0"/>
              <w:spacing w:line="240" w:lineRule="auto"/>
              <w:jc w:val="center"/>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rPr>
              <w:t>跌落性能</w:t>
            </w:r>
          </w:p>
        </w:tc>
        <w:tc>
          <w:tcPr>
            <w:tcW w:w="1626" w:type="pct"/>
            <w:shd w:val="clear" w:color="auto" w:fill="auto"/>
            <w:vAlign w:val="center"/>
          </w:tcPr>
          <w:p w14:paraId="45D42A5E">
            <w:pPr>
              <w:widowControl w:val="0"/>
              <w:adjustRightInd w:val="0"/>
              <w:snapToGrid w:val="0"/>
              <w:spacing w:line="240" w:lineRule="auto"/>
              <w:jc w:val="center"/>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rPr>
              <w:t>QB/T 2155-2018</w:t>
            </w:r>
          </w:p>
        </w:tc>
        <w:tc>
          <w:tcPr>
            <w:tcW w:w="1542" w:type="pct"/>
            <w:shd w:val="clear" w:color="auto" w:fill="auto"/>
            <w:vAlign w:val="center"/>
          </w:tcPr>
          <w:p w14:paraId="48DCF66A">
            <w:pPr>
              <w:widowControl w:val="0"/>
              <w:adjustRightInd w:val="0"/>
              <w:snapToGrid w:val="0"/>
              <w:spacing w:line="240" w:lineRule="auto"/>
              <w:jc w:val="center"/>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rPr>
              <w:t>QB/T 2921-2018</w:t>
            </w:r>
          </w:p>
        </w:tc>
      </w:tr>
      <w:tr w14:paraId="727C4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330" w:type="pct"/>
            <w:vAlign w:val="center"/>
          </w:tcPr>
          <w:p w14:paraId="0A09C231">
            <w:pPr>
              <w:widowControl w:val="0"/>
              <w:adjustRightInd w:val="0"/>
              <w:snapToGrid w:val="0"/>
              <w:spacing w:line="240" w:lineRule="auto"/>
              <w:jc w:val="center"/>
              <w:rPr>
                <w:rFonts w:hint="eastAsia" w:ascii="宋体" w:hAnsi="宋体" w:eastAsia="宋体" w:cs="Times New Roman"/>
                <w:kern w:val="2"/>
                <w:sz w:val="21"/>
                <w:szCs w:val="21"/>
                <w:lang w:val="en-US" w:eastAsia="zh-CN"/>
              </w:rPr>
            </w:pPr>
            <w:r>
              <w:rPr>
                <w:rFonts w:hint="eastAsia" w:ascii="宋体" w:hAnsi="宋体" w:eastAsia="宋体" w:cs="Times New Roman"/>
                <w:kern w:val="2"/>
                <w:sz w:val="21"/>
                <w:szCs w:val="21"/>
                <w:lang w:val="en-US" w:eastAsia="zh-CN"/>
              </w:rPr>
              <w:t>5</w:t>
            </w:r>
          </w:p>
        </w:tc>
        <w:tc>
          <w:tcPr>
            <w:tcW w:w="1500" w:type="pct"/>
            <w:shd w:val="clear" w:color="auto" w:fill="auto"/>
            <w:vAlign w:val="center"/>
          </w:tcPr>
          <w:p w14:paraId="17F33188">
            <w:pPr>
              <w:widowControl w:val="0"/>
              <w:adjustRightInd w:val="0"/>
              <w:snapToGrid w:val="0"/>
              <w:spacing w:line="240" w:lineRule="auto"/>
              <w:jc w:val="center"/>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rPr>
              <w:t>硬箱箱体耐静压性能</w:t>
            </w:r>
          </w:p>
        </w:tc>
        <w:tc>
          <w:tcPr>
            <w:tcW w:w="1626" w:type="pct"/>
            <w:shd w:val="clear" w:color="auto" w:fill="auto"/>
            <w:vAlign w:val="center"/>
          </w:tcPr>
          <w:p w14:paraId="4C8BFC7D">
            <w:pPr>
              <w:widowControl w:val="0"/>
              <w:adjustRightInd w:val="0"/>
              <w:snapToGrid w:val="0"/>
              <w:spacing w:line="240" w:lineRule="auto"/>
              <w:jc w:val="center"/>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rPr>
              <w:t>QB/T 2155-2018</w:t>
            </w:r>
          </w:p>
        </w:tc>
        <w:tc>
          <w:tcPr>
            <w:tcW w:w="1542" w:type="pct"/>
            <w:shd w:val="clear" w:color="auto" w:fill="auto"/>
            <w:vAlign w:val="center"/>
          </w:tcPr>
          <w:p w14:paraId="3B75CDF2">
            <w:pPr>
              <w:widowControl w:val="0"/>
              <w:adjustRightInd w:val="0"/>
              <w:snapToGrid w:val="0"/>
              <w:spacing w:line="240" w:lineRule="auto"/>
              <w:jc w:val="center"/>
              <w:rPr>
                <w:rFonts w:hint="default" w:ascii="宋体" w:hAnsi="宋体" w:eastAsia="宋体" w:cs="Times New Roman"/>
                <w:kern w:val="2"/>
                <w:sz w:val="21"/>
                <w:szCs w:val="21"/>
                <w:lang w:val="en-US" w:eastAsia="zh-CN" w:bidi="ar-SA"/>
              </w:rPr>
            </w:pPr>
            <w:r>
              <w:rPr>
                <w:rFonts w:hint="eastAsia" w:ascii="宋体" w:hAnsi="宋体" w:eastAsia="宋体" w:cs="Times New Roman"/>
                <w:kern w:val="2"/>
                <w:sz w:val="21"/>
                <w:szCs w:val="21"/>
              </w:rPr>
              <w:t>QB/T 2155-2018</w:t>
            </w:r>
          </w:p>
        </w:tc>
      </w:tr>
      <w:tr w14:paraId="6F579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330" w:type="pct"/>
            <w:vAlign w:val="center"/>
          </w:tcPr>
          <w:p w14:paraId="376DA623">
            <w:pPr>
              <w:widowControl w:val="0"/>
              <w:adjustRightInd w:val="0"/>
              <w:snapToGrid w:val="0"/>
              <w:spacing w:line="240" w:lineRule="auto"/>
              <w:jc w:val="center"/>
              <w:rPr>
                <w:rFonts w:hint="eastAsia" w:ascii="宋体" w:hAnsi="宋体" w:eastAsia="宋体" w:cs="Times New Roman"/>
                <w:kern w:val="2"/>
                <w:sz w:val="21"/>
                <w:szCs w:val="21"/>
                <w:lang w:val="en-US" w:eastAsia="zh-CN"/>
              </w:rPr>
            </w:pPr>
            <w:r>
              <w:rPr>
                <w:rFonts w:hint="eastAsia" w:ascii="宋体" w:hAnsi="宋体" w:eastAsia="宋体" w:cs="Times New Roman"/>
                <w:kern w:val="2"/>
                <w:sz w:val="21"/>
                <w:szCs w:val="21"/>
                <w:lang w:val="en-US" w:eastAsia="zh-CN"/>
              </w:rPr>
              <w:t>6</w:t>
            </w:r>
          </w:p>
        </w:tc>
        <w:tc>
          <w:tcPr>
            <w:tcW w:w="1500" w:type="pct"/>
            <w:shd w:val="clear" w:color="auto" w:fill="auto"/>
            <w:vAlign w:val="center"/>
          </w:tcPr>
          <w:p w14:paraId="2476BB64">
            <w:pPr>
              <w:widowControl w:val="0"/>
              <w:adjustRightInd w:val="0"/>
              <w:snapToGrid w:val="0"/>
              <w:spacing w:line="240" w:lineRule="auto"/>
              <w:jc w:val="center"/>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rPr>
              <w:t>塑料硬箱箱面耐落球冲击性能</w:t>
            </w:r>
          </w:p>
        </w:tc>
        <w:tc>
          <w:tcPr>
            <w:tcW w:w="1626" w:type="pct"/>
            <w:shd w:val="clear" w:color="auto" w:fill="auto"/>
            <w:vAlign w:val="center"/>
          </w:tcPr>
          <w:p w14:paraId="0F0A578B">
            <w:pPr>
              <w:widowControl w:val="0"/>
              <w:adjustRightInd w:val="0"/>
              <w:snapToGrid w:val="0"/>
              <w:spacing w:line="240" w:lineRule="auto"/>
              <w:jc w:val="center"/>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rPr>
              <w:t>QB/T 2155-2018</w:t>
            </w:r>
          </w:p>
        </w:tc>
        <w:tc>
          <w:tcPr>
            <w:tcW w:w="1542" w:type="pct"/>
            <w:shd w:val="clear" w:color="auto" w:fill="auto"/>
            <w:vAlign w:val="center"/>
          </w:tcPr>
          <w:p w14:paraId="73BD586B">
            <w:pPr>
              <w:widowControl w:val="0"/>
              <w:adjustRightInd w:val="0"/>
              <w:snapToGrid w:val="0"/>
              <w:spacing w:line="240" w:lineRule="auto"/>
              <w:jc w:val="center"/>
              <w:rPr>
                <w:rFonts w:hint="default" w:ascii="宋体" w:hAnsi="宋体" w:eastAsia="宋体" w:cs="Times New Roman"/>
                <w:kern w:val="2"/>
                <w:sz w:val="21"/>
                <w:szCs w:val="21"/>
                <w:lang w:val="en-US" w:eastAsia="zh-CN" w:bidi="ar-SA"/>
              </w:rPr>
            </w:pPr>
            <w:r>
              <w:rPr>
                <w:rFonts w:hint="eastAsia" w:ascii="宋体" w:hAnsi="宋体" w:eastAsia="宋体" w:cs="Times New Roman"/>
                <w:kern w:val="2"/>
                <w:sz w:val="21"/>
                <w:szCs w:val="21"/>
              </w:rPr>
              <w:t>QB/T 2918</w:t>
            </w:r>
            <w:r>
              <w:rPr>
                <w:rFonts w:hint="eastAsia" w:eastAsia="宋体" w:cs="Times New Roman"/>
                <w:kern w:val="2"/>
                <w:sz w:val="21"/>
                <w:szCs w:val="21"/>
                <w:lang w:val="en-US" w:eastAsia="zh-CN"/>
              </w:rPr>
              <w:t>-2007</w:t>
            </w:r>
          </w:p>
        </w:tc>
      </w:tr>
      <w:tr w14:paraId="091F5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330" w:type="pct"/>
            <w:vAlign w:val="center"/>
          </w:tcPr>
          <w:p w14:paraId="667F28C1">
            <w:pPr>
              <w:widowControl w:val="0"/>
              <w:adjustRightInd w:val="0"/>
              <w:snapToGrid w:val="0"/>
              <w:spacing w:line="240" w:lineRule="auto"/>
              <w:jc w:val="center"/>
              <w:rPr>
                <w:rFonts w:hint="eastAsia" w:ascii="宋体" w:hAnsi="宋体" w:eastAsia="宋体" w:cs="Times New Roman"/>
                <w:kern w:val="2"/>
                <w:sz w:val="21"/>
                <w:szCs w:val="21"/>
                <w:lang w:val="en-US" w:eastAsia="zh-CN"/>
              </w:rPr>
            </w:pPr>
            <w:r>
              <w:rPr>
                <w:rFonts w:hint="eastAsia" w:ascii="宋体" w:hAnsi="宋体" w:eastAsia="宋体" w:cs="Times New Roman"/>
                <w:kern w:val="2"/>
                <w:sz w:val="21"/>
                <w:szCs w:val="21"/>
                <w:lang w:val="en-US" w:eastAsia="zh-CN"/>
              </w:rPr>
              <w:t>7</w:t>
            </w:r>
          </w:p>
        </w:tc>
        <w:tc>
          <w:tcPr>
            <w:tcW w:w="1500" w:type="pct"/>
            <w:shd w:val="clear" w:color="auto" w:fill="auto"/>
            <w:vAlign w:val="center"/>
          </w:tcPr>
          <w:p w14:paraId="047B9A5F">
            <w:pPr>
              <w:widowControl w:val="0"/>
              <w:adjustRightInd w:val="0"/>
              <w:snapToGrid w:val="0"/>
              <w:spacing w:line="240" w:lineRule="auto"/>
              <w:jc w:val="center"/>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rPr>
              <w:t>滚筒冲击性能</w:t>
            </w:r>
          </w:p>
        </w:tc>
        <w:tc>
          <w:tcPr>
            <w:tcW w:w="1626" w:type="pct"/>
            <w:shd w:val="clear" w:color="auto" w:fill="auto"/>
            <w:vAlign w:val="center"/>
          </w:tcPr>
          <w:p w14:paraId="59872CF4">
            <w:pPr>
              <w:widowControl w:val="0"/>
              <w:adjustRightInd w:val="0"/>
              <w:snapToGrid w:val="0"/>
              <w:spacing w:line="240" w:lineRule="auto"/>
              <w:jc w:val="center"/>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rPr>
              <w:t>QB/T 2155-2018</w:t>
            </w:r>
          </w:p>
        </w:tc>
        <w:tc>
          <w:tcPr>
            <w:tcW w:w="1542" w:type="pct"/>
            <w:shd w:val="clear" w:color="auto" w:fill="auto"/>
            <w:vAlign w:val="center"/>
          </w:tcPr>
          <w:p w14:paraId="18A778EC">
            <w:pPr>
              <w:widowControl w:val="0"/>
              <w:adjustRightInd w:val="0"/>
              <w:snapToGrid w:val="0"/>
              <w:spacing w:line="240" w:lineRule="auto"/>
              <w:jc w:val="center"/>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rPr>
              <w:t>QB/T 4116-20</w:t>
            </w:r>
            <w:r>
              <w:rPr>
                <w:rFonts w:hint="eastAsia" w:eastAsia="宋体" w:cs="Times New Roman"/>
                <w:kern w:val="2"/>
                <w:sz w:val="21"/>
                <w:szCs w:val="21"/>
                <w:lang w:val="en-US" w:eastAsia="zh-CN"/>
              </w:rPr>
              <w:t>23</w:t>
            </w:r>
          </w:p>
        </w:tc>
      </w:tr>
      <w:tr w14:paraId="60E7C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330" w:type="pct"/>
            <w:vAlign w:val="center"/>
          </w:tcPr>
          <w:p w14:paraId="340423A1">
            <w:pPr>
              <w:widowControl w:val="0"/>
              <w:adjustRightInd w:val="0"/>
              <w:snapToGrid w:val="0"/>
              <w:spacing w:line="240" w:lineRule="auto"/>
              <w:jc w:val="center"/>
              <w:rPr>
                <w:rFonts w:hint="eastAsia" w:ascii="宋体" w:hAnsi="宋体" w:eastAsia="宋体" w:cs="Times New Roman"/>
                <w:kern w:val="2"/>
                <w:sz w:val="21"/>
                <w:szCs w:val="21"/>
                <w:lang w:val="en-US" w:eastAsia="zh-CN"/>
              </w:rPr>
            </w:pPr>
            <w:r>
              <w:rPr>
                <w:rFonts w:hint="eastAsia" w:ascii="宋体" w:hAnsi="宋体" w:eastAsia="宋体" w:cs="Times New Roman"/>
                <w:kern w:val="2"/>
                <w:sz w:val="21"/>
                <w:szCs w:val="21"/>
                <w:lang w:val="en-US" w:eastAsia="zh-CN"/>
              </w:rPr>
              <w:t>8</w:t>
            </w:r>
          </w:p>
        </w:tc>
        <w:tc>
          <w:tcPr>
            <w:tcW w:w="1500" w:type="pct"/>
            <w:shd w:val="clear" w:color="auto" w:fill="auto"/>
            <w:vAlign w:val="center"/>
          </w:tcPr>
          <w:p w14:paraId="3EF22F7A">
            <w:pPr>
              <w:widowControl w:val="0"/>
              <w:adjustRightInd w:val="0"/>
              <w:snapToGrid w:val="0"/>
              <w:spacing w:line="240" w:lineRule="auto"/>
              <w:jc w:val="center"/>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rPr>
              <w:t>箱（包）锁耐用性能</w:t>
            </w:r>
          </w:p>
        </w:tc>
        <w:tc>
          <w:tcPr>
            <w:tcW w:w="1626" w:type="pct"/>
            <w:shd w:val="clear" w:color="auto" w:fill="auto"/>
            <w:vAlign w:val="center"/>
          </w:tcPr>
          <w:p w14:paraId="7F6668C3">
            <w:pPr>
              <w:widowControl w:val="0"/>
              <w:adjustRightInd w:val="0"/>
              <w:snapToGrid w:val="0"/>
              <w:spacing w:line="240" w:lineRule="auto"/>
              <w:jc w:val="center"/>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rPr>
              <w:t>QB/T 2155-2018</w:t>
            </w:r>
          </w:p>
        </w:tc>
        <w:tc>
          <w:tcPr>
            <w:tcW w:w="1542" w:type="pct"/>
            <w:shd w:val="clear" w:color="auto" w:fill="auto"/>
            <w:vAlign w:val="center"/>
          </w:tcPr>
          <w:p w14:paraId="69CF52A2">
            <w:pPr>
              <w:widowControl w:val="0"/>
              <w:adjustRightInd w:val="0"/>
              <w:snapToGrid w:val="0"/>
              <w:spacing w:line="240" w:lineRule="auto"/>
              <w:jc w:val="center"/>
              <w:rPr>
                <w:rFonts w:hint="default" w:ascii="宋体" w:hAnsi="宋体" w:eastAsia="宋体" w:cs="Times New Roman"/>
                <w:kern w:val="2"/>
                <w:sz w:val="21"/>
                <w:szCs w:val="21"/>
                <w:lang w:val="en-US" w:eastAsia="zh-CN" w:bidi="ar-SA"/>
              </w:rPr>
            </w:pPr>
            <w:r>
              <w:rPr>
                <w:rFonts w:hint="eastAsia" w:ascii="宋体" w:hAnsi="宋体" w:eastAsia="宋体" w:cs="Times New Roman"/>
                <w:kern w:val="2"/>
                <w:sz w:val="21"/>
                <w:szCs w:val="21"/>
              </w:rPr>
              <w:t>QB/T 2155-2018</w:t>
            </w:r>
          </w:p>
        </w:tc>
      </w:tr>
      <w:tr w14:paraId="5240C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330" w:type="pct"/>
            <w:vAlign w:val="center"/>
          </w:tcPr>
          <w:p w14:paraId="3DD8B99B">
            <w:pPr>
              <w:widowControl w:val="0"/>
              <w:adjustRightInd w:val="0"/>
              <w:snapToGrid w:val="0"/>
              <w:spacing w:line="240" w:lineRule="auto"/>
              <w:jc w:val="center"/>
              <w:rPr>
                <w:rFonts w:hint="eastAsia" w:ascii="宋体" w:hAnsi="宋体" w:eastAsia="宋体" w:cs="Times New Roman"/>
                <w:kern w:val="2"/>
                <w:sz w:val="21"/>
                <w:szCs w:val="21"/>
                <w:lang w:val="en-US" w:eastAsia="zh-CN"/>
              </w:rPr>
            </w:pPr>
            <w:r>
              <w:rPr>
                <w:rFonts w:hint="eastAsia" w:ascii="宋体" w:hAnsi="宋体" w:eastAsia="宋体" w:cs="Times New Roman"/>
                <w:kern w:val="2"/>
                <w:sz w:val="21"/>
                <w:szCs w:val="21"/>
                <w:lang w:val="en-US" w:eastAsia="zh-CN"/>
              </w:rPr>
              <w:t>9</w:t>
            </w:r>
          </w:p>
        </w:tc>
        <w:tc>
          <w:tcPr>
            <w:tcW w:w="1500" w:type="pct"/>
            <w:shd w:val="clear" w:color="auto" w:fill="auto"/>
            <w:vAlign w:val="center"/>
          </w:tcPr>
          <w:p w14:paraId="14F07539">
            <w:pPr>
              <w:widowControl w:val="0"/>
              <w:adjustRightInd w:val="0"/>
              <w:snapToGrid w:val="0"/>
              <w:spacing w:line="240" w:lineRule="auto"/>
              <w:jc w:val="center"/>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rPr>
              <w:t>缝合强度</w:t>
            </w:r>
          </w:p>
        </w:tc>
        <w:tc>
          <w:tcPr>
            <w:tcW w:w="1626" w:type="pct"/>
            <w:shd w:val="clear" w:color="auto" w:fill="auto"/>
            <w:vAlign w:val="center"/>
          </w:tcPr>
          <w:p w14:paraId="2D483029">
            <w:pPr>
              <w:widowControl w:val="0"/>
              <w:adjustRightInd w:val="0"/>
              <w:snapToGrid w:val="0"/>
              <w:spacing w:line="240" w:lineRule="auto"/>
              <w:jc w:val="center"/>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rPr>
              <w:t>QB/T 2155-2018</w:t>
            </w:r>
          </w:p>
        </w:tc>
        <w:tc>
          <w:tcPr>
            <w:tcW w:w="1542" w:type="pct"/>
            <w:shd w:val="clear" w:color="auto" w:fill="auto"/>
            <w:vAlign w:val="center"/>
          </w:tcPr>
          <w:p w14:paraId="45B51CB1">
            <w:pPr>
              <w:widowControl w:val="0"/>
              <w:adjustRightInd w:val="0"/>
              <w:snapToGrid w:val="0"/>
              <w:spacing w:line="240" w:lineRule="auto"/>
              <w:jc w:val="center"/>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rPr>
              <w:t>QB/T 2155-2018</w:t>
            </w:r>
          </w:p>
        </w:tc>
      </w:tr>
      <w:tr w14:paraId="65C29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330" w:type="pct"/>
            <w:vAlign w:val="center"/>
          </w:tcPr>
          <w:p w14:paraId="2A23C8D1">
            <w:pPr>
              <w:widowControl w:val="0"/>
              <w:adjustRightInd w:val="0"/>
              <w:snapToGrid w:val="0"/>
              <w:spacing w:line="240" w:lineRule="auto"/>
              <w:jc w:val="center"/>
              <w:rPr>
                <w:rFonts w:hint="eastAsia" w:ascii="宋体" w:hAnsi="宋体" w:eastAsia="宋体" w:cs="Times New Roman"/>
                <w:kern w:val="2"/>
                <w:sz w:val="21"/>
                <w:szCs w:val="21"/>
                <w:lang w:val="en-US" w:eastAsia="zh-CN"/>
              </w:rPr>
            </w:pPr>
            <w:r>
              <w:rPr>
                <w:rFonts w:hint="eastAsia" w:ascii="宋体" w:hAnsi="宋体" w:eastAsia="宋体" w:cs="Times New Roman"/>
                <w:kern w:val="2"/>
                <w:sz w:val="21"/>
                <w:szCs w:val="21"/>
                <w:lang w:val="en-US" w:eastAsia="zh-CN"/>
              </w:rPr>
              <w:t>1</w:t>
            </w:r>
            <w:r>
              <w:rPr>
                <w:rFonts w:hint="eastAsia" w:ascii="宋体" w:hAnsi="宋体" w:cs="Times New Roman"/>
                <w:kern w:val="2"/>
                <w:sz w:val="21"/>
                <w:szCs w:val="21"/>
                <w:lang w:val="en-US" w:eastAsia="zh-CN"/>
              </w:rPr>
              <w:t>0</w:t>
            </w:r>
          </w:p>
        </w:tc>
        <w:tc>
          <w:tcPr>
            <w:tcW w:w="1500" w:type="pct"/>
            <w:shd w:val="clear" w:color="auto" w:fill="auto"/>
            <w:vAlign w:val="center"/>
          </w:tcPr>
          <w:p w14:paraId="0AF7D6DD">
            <w:pPr>
              <w:widowControl w:val="0"/>
              <w:adjustRightInd w:val="0"/>
              <w:snapToGrid w:val="0"/>
              <w:spacing w:line="240" w:lineRule="auto"/>
              <w:jc w:val="center"/>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rPr>
              <w:t>可分解有害芳香胺染料</w:t>
            </w:r>
          </w:p>
        </w:tc>
        <w:tc>
          <w:tcPr>
            <w:tcW w:w="1626" w:type="pct"/>
            <w:shd w:val="clear" w:color="auto" w:fill="auto"/>
            <w:vAlign w:val="center"/>
          </w:tcPr>
          <w:p w14:paraId="15675738">
            <w:pPr>
              <w:widowControl w:val="0"/>
              <w:adjustRightInd w:val="0"/>
              <w:snapToGrid w:val="0"/>
              <w:spacing w:line="240" w:lineRule="auto"/>
              <w:jc w:val="center"/>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rPr>
              <w:t>QB/T 2155-2018</w:t>
            </w:r>
          </w:p>
        </w:tc>
        <w:tc>
          <w:tcPr>
            <w:tcW w:w="1542" w:type="pct"/>
            <w:shd w:val="clear" w:color="auto" w:fill="auto"/>
            <w:vAlign w:val="center"/>
          </w:tcPr>
          <w:p w14:paraId="5C7CAFCF">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GB/T 17592—20</w:t>
            </w:r>
            <w:r>
              <w:rPr>
                <w:rFonts w:hint="eastAsia" w:ascii="宋体" w:hAnsi="宋体" w:eastAsia="宋体" w:cs="宋体"/>
                <w:color w:val="auto"/>
                <w:sz w:val="21"/>
                <w:szCs w:val="21"/>
                <w:highlight w:val="none"/>
                <w:lang w:val="en-US" w:eastAsia="zh-CN"/>
              </w:rPr>
              <w:t>24</w:t>
            </w:r>
          </w:p>
          <w:p w14:paraId="615834B4">
            <w:pPr>
              <w:widowControl w:val="0"/>
              <w:adjustRightInd w:val="0"/>
              <w:snapToGrid w:val="0"/>
              <w:spacing w:line="240" w:lineRule="auto"/>
              <w:jc w:val="center"/>
              <w:rPr>
                <w:rFonts w:hint="default" w:ascii="宋体" w:hAnsi="宋体" w:eastAsia="宋体" w:cs="Times New Roman"/>
                <w:kern w:val="2"/>
                <w:sz w:val="21"/>
                <w:szCs w:val="21"/>
                <w:lang w:val="en-US" w:eastAsia="zh-CN" w:bidi="ar-SA"/>
              </w:rPr>
            </w:pPr>
            <w:r>
              <w:rPr>
                <w:rFonts w:hint="eastAsia" w:ascii="宋体" w:hAnsi="宋体" w:eastAsia="宋体" w:cs="宋体"/>
                <w:color w:val="auto"/>
                <w:sz w:val="21"/>
                <w:szCs w:val="21"/>
                <w:highlight w:val="none"/>
              </w:rPr>
              <w:t>GB/T 19942—2019</w:t>
            </w:r>
          </w:p>
        </w:tc>
      </w:tr>
      <w:tr w14:paraId="6835B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330" w:type="pct"/>
            <w:vAlign w:val="center"/>
          </w:tcPr>
          <w:p w14:paraId="323B3ADB">
            <w:pPr>
              <w:widowControl w:val="0"/>
              <w:adjustRightInd w:val="0"/>
              <w:snapToGrid w:val="0"/>
              <w:spacing w:line="240" w:lineRule="auto"/>
              <w:jc w:val="center"/>
              <w:rPr>
                <w:rFonts w:hint="eastAsia" w:ascii="宋体" w:hAnsi="宋体" w:eastAsia="宋体" w:cs="Times New Roman"/>
                <w:kern w:val="2"/>
                <w:sz w:val="21"/>
                <w:szCs w:val="21"/>
                <w:lang w:val="en-US" w:eastAsia="zh-CN"/>
              </w:rPr>
            </w:pPr>
            <w:r>
              <w:rPr>
                <w:rFonts w:hint="eastAsia" w:ascii="宋体" w:hAnsi="宋体" w:eastAsia="宋体" w:cs="Times New Roman"/>
                <w:kern w:val="2"/>
                <w:sz w:val="21"/>
                <w:szCs w:val="21"/>
                <w:lang w:val="en-US" w:eastAsia="zh-CN"/>
              </w:rPr>
              <w:t>1</w:t>
            </w:r>
            <w:r>
              <w:rPr>
                <w:rFonts w:hint="eastAsia" w:ascii="宋体" w:hAnsi="宋体" w:cs="Times New Roman"/>
                <w:kern w:val="2"/>
                <w:sz w:val="21"/>
                <w:szCs w:val="21"/>
                <w:lang w:val="en-US" w:eastAsia="zh-CN"/>
              </w:rPr>
              <w:t>1</w:t>
            </w:r>
          </w:p>
        </w:tc>
        <w:tc>
          <w:tcPr>
            <w:tcW w:w="1500" w:type="pct"/>
            <w:shd w:val="clear" w:color="auto" w:fill="auto"/>
            <w:vAlign w:val="center"/>
          </w:tcPr>
          <w:p w14:paraId="7FEDDAF7">
            <w:pPr>
              <w:widowControl w:val="0"/>
              <w:adjustRightInd w:val="0"/>
              <w:snapToGrid w:val="0"/>
              <w:spacing w:line="240" w:lineRule="auto"/>
              <w:jc w:val="center"/>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rPr>
              <w:t>游离甲醛</w:t>
            </w:r>
          </w:p>
        </w:tc>
        <w:tc>
          <w:tcPr>
            <w:tcW w:w="1626" w:type="pct"/>
            <w:shd w:val="clear" w:color="auto" w:fill="auto"/>
            <w:vAlign w:val="center"/>
          </w:tcPr>
          <w:p w14:paraId="090BC33B">
            <w:pPr>
              <w:widowControl w:val="0"/>
              <w:adjustRightInd w:val="0"/>
              <w:snapToGrid w:val="0"/>
              <w:spacing w:line="240" w:lineRule="auto"/>
              <w:jc w:val="center"/>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rPr>
              <w:t>QB/T 2155-2018</w:t>
            </w:r>
          </w:p>
        </w:tc>
        <w:tc>
          <w:tcPr>
            <w:tcW w:w="1542" w:type="pct"/>
            <w:shd w:val="clear" w:color="auto" w:fill="auto"/>
            <w:vAlign w:val="center"/>
          </w:tcPr>
          <w:p w14:paraId="39D30F4C">
            <w:pPr>
              <w:keepNext w:val="0"/>
              <w:keepLines w:val="0"/>
              <w:suppressLineNumbers w:val="0"/>
              <w:adjustRightInd w:val="0"/>
              <w:snapToGrid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 2912.1—2009</w:t>
            </w:r>
          </w:p>
          <w:p w14:paraId="55677169">
            <w:pPr>
              <w:widowControl w:val="0"/>
              <w:adjustRightInd w:val="0"/>
              <w:snapToGrid w:val="0"/>
              <w:spacing w:line="240" w:lineRule="auto"/>
              <w:jc w:val="center"/>
              <w:rPr>
                <w:rFonts w:hint="default" w:ascii="宋体" w:hAnsi="宋体" w:eastAsia="宋体" w:cs="Times New Roman"/>
                <w:kern w:val="2"/>
                <w:sz w:val="21"/>
                <w:szCs w:val="21"/>
                <w:lang w:val="en-US" w:eastAsia="zh-CN" w:bidi="ar-SA"/>
              </w:rPr>
            </w:pPr>
            <w:r>
              <w:rPr>
                <w:rFonts w:hint="eastAsia" w:ascii="宋体" w:hAnsi="宋体" w:eastAsia="宋体" w:cs="宋体"/>
                <w:color w:val="auto"/>
                <w:sz w:val="21"/>
                <w:szCs w:val="21"/>
                <w:highlight w:val="none"/>
              </w:rPr>
              <w:t>GB/T 19941.1—2019</w:t>
            </w:r>
          </w:p>
        </w:tc>
      </w:tr>
    </w:tbl>
    <w:p w14:paraId="29D4BE48">
      <w:pPr>
        <w:spacing w:line="560" w:lineRule="exact"/>
        <w:ind w:firstLine="480" w:firstLineChars="200"/>
        <w:rPr>
          <w:rFonts w:hint="eastAsia" w:cs="方正仿宋_GBK" w:asciiTheme="minorEastAsia" w:hAnsiTheme="minorEastAsia" w:eastAsiaTheme="minorEastAsia"/>
          <w:sz w:val="24"/>
          <w:lang w:eastAsia="zh-CN"/>
        </w:rPr>
      </w:pPr>
      <w:r>
        <w:rPr>
          <w:rFonts w:hint="eastAsia" w:cs="方正仿宋_GBK" w:asciiTheme="minorEastAsia" w:hAnsiTheme="minorEastAsia" w:eastAsiaTheme="minorEastAsia"/>
          <w:sz w:val="24"/>
          <w:lang w:eastAsia="zh-CN"/>
        </w:rPr>
        <w:t>检验方法包括相关产品标准及试验方法标准。</w:t>
      </w:r>
    </w:p>
    <w:p w14:paraId="2971A2A5">
      <w:pPr>
        <w:spacing w:line="560" w:lineRule="exact"/>
        <w:ind w:firstLine="480" w:firstLineChars="200"/>
        <w:rPr>
          <w:rFonts w:hint="eastAsia" w:cs="方正仿宋_GBK" w:asciiTheme="minorEastAsia" w:hAnsiTheme="minorEastAsia" w:eastAsiaTheme="minorEastAsia"/>
          <w:sz w:val="24"/>
          <w:lang w:eastAsia="zh-CN"/>
        </w:rPr>
      </w:pPr>
      <w:r>
        <w:rPr>
          <w:rFonts w:hint="eastAsia" w:cs="方正仿宋_GBK" w:asciiTheme="minorEastAsia" w:hAnsiTheme="minorEastAsia" w:eastAsiaTheme="minorEastAsia"/>
          <w:sz w:val="24"/>
          <w:lang w:eastAsia="zh-CN"/>
        </w:rPr>
        <w:t>凡是注日期的文件，其随后所有的修改单（不包括勘误的内容）或修订版不适用于本细则。凡是不注日期的文件，其最新版本适用于本细则。</w:t>
      </w:r>
    </w:p>
    <w:p w14:paraId="06409D88">
      <w:pPr>
        <w:spacing w:line="560" w:lineRule="exact"/>
        <w:ind w:firstLine="482" w:firstLineChars="200"/>
        <w:rPr>
          <w:rFonts w:hint="eastAsia" w:cs="Times New Roman" w:asciiTheme="minorEastAsia" w:hAnsiTheme="minorEastAsia" w:eastAsiaTheme="minorEastAsia"/>
          <w:b/>
          <w:bCs/>
          <w:sz w:val="24"/>
          <w:lang w:eastAsia="zh-CN"/>
        </w:rPr>
      </w:pPr>
      <w:r>
        <w:rPr>
          <w:rFonts w:hint="eastAsia" w:cs="Times New Roman" w:asciiTheme="minorEastAsia" w:hAnsiTheme="minorEastAsia" w:eastAsiaTheme="minorEastAsia"/>
          <w:b/>
          <w:bCs/>
          <w:sz w:val="24"/>
          <w:lang w:eastAsia="zh-CN"/>
        </w:rPr>
        <w:t>4.判定规则</w:t>
      </w:r>
    </w:p>
    <w:p w14:paraId="07B227F7">
      <w:pPr>
        <w:spacing w:line="560" w:lineRule="exact"/>
        <w:ind w:firstLine="482" w:firstLineChars="200"/>
        <w:rPr>
          <w:rFonts w:hint="eastAsia" w:cs="Times New Roman" w:asciiTheme="minorEastAsia" w:hAnsiTheme="minorEastAsia" w:eastAsiaTheme="minorEastAsia"/>
          <w:b/>
          <w:bCs/>
          <w:sz w:val="24"/>
          <w:lang w:eastAsia="zh-CN"/>
        </w:rPr>
      </w:pPr>
      <w:r>
        <w:rPr>
          <w:rFonts w:hint="eastAsia" w:cs="Times New Roman" w:asciiTheme="minorEastAsia" w:hAnsiTheme="minorEastAsia" w:eastAsiaTheme="minorEastAsia"/>
          <w:b/>
          <w:bCs/>
          <w:sz w:val="24"/>
          <w:lang w:eastAsia="zh-CN"/>
        </w:rPr>
        <w:t>4.1依据标准</w:t>
      </w:r>
    </w:p>
    <w:p w14:paraId="323EF625">
      <w:pPr>
        <w:spacing w:line="560" w:lineRule="exact"/>
        <w:ind w:firstLine="480" w:firstLineChars="200"/>
        <w:rPr>
          <w:rFonts w:hint="eastAsia" w:cs="方正仿宋_GBK" w:asciiTheme="minorEastAsia" w:hAnsiTheme="minorEastAsia" w:eastAsiaTheme="minorEastAsia"/>
          <w:sz w:val="24"/>
          <w:lang w:eastAsia="zh-CN"/>
        </w:rPr>
      </w:pPr>
      <w:r>
        <w:rPr>
          <w:rFonts w:hint="eastAsia" w:cs="方正仿宋_GBK" w:asciiTheme="minorEastAsia" w:hAnsiTheme="minorEastAsia" w:eastAsiaTheme="minorEastAsia"/>
          <w:sz w:val="24"/>
          <w:lang w:eastAsia="zh-CN"/>
        </w:rPr>
        <w:t>QB/T 2155-2018《旅行箱包》；</w:t>
      </w:r>
    </w:p>
    <w:p w14:paraId="057AD3E8">
      <w:pPr>
        <w:spacing w:line="560" w:lineRule="exact"/>
        <w:ind w:firstLine="480" w:firstLineChars="200"/>
        <w:rPr>
          <w:rFonts w:hint="eastAsia" w:cs="方正仿宋_GBK" w:asciiTheme="minorEastAsia" w:hAnsiTheme="minorEastAsia" w:eastAsiaTheme="minorEastAsia"/>
          <w:sz w:val="24"/>
          <w:lang w:eastAsia="zh-CN"/>
        </w:rPr>
      </w:pPr>
      <w:r>
        <w:rPr>
          <w:rFonts w:hint="eastAsia" w:cs="方正仿宋_GBK" w:asciiTheme="minorEastAsia" w:hAnsiTheme="minorEastAsia" w:eastAsiaTheme="minorEastAsia"/>
          <w:sz w:val="24"/>
          <w:lang w:eastAsia="zh-CN"/>
        </w:rPr>
        <w:t>相关的法律法规、部门规章和规范；</w:t>
      </w:r>
    </w:p>
    <w:p w14:paraId="11A05092">
      <w:pPr>
        <w:spacing w:line="560" w:lineRule="exact"/>
        <w:ind w:firstLine="480" w:firstLineChars="200"/>
        <w:rPr>
          <w:rFonts w:hint="eastAsia" w:ascii="方正仿宋_GBK" w:hAnsi="方正仿宋_GBK" w:eastAsia="方正仿宋_GBK" w:cs="方正仿宋_GBK"/>
          <w:sz w:val="32"/>
          <w:szCs w:val="32"/>
          <w:lang w:eastAsia="zh-CN"/>
        </w:rPr>
      </w:pPr>
      <w:r>
        <w:rPr>
          <w:rFonts w:hint="eastAsia" w:cs="方正仿宋_GBK" w:asciiTheme="minorEastAsia" w:hAnsiTheme="minorEastAsia" w:eastAsiaTheme="minorEastAsia"/>
          <w:sz w:val="24"/>
          <w:lang w:eastAsia="zh-CN"/>
        </w:rPr>
        <w:t>经备案现行有效的企业标准及产品明示质量要求。</w:t>
      </w:r>
    </w:p>
    <w:p w14:paraId="4AFB92EB">
      <w:pPr>
        <w:spacing w:line="560" w:lineRule="exact"/>
        <w:ind w:firstLine="482" w:firstLineChars="200"/>
        <w:rPr>
          <w:rFonts w:hint="eastAsia" w:cs="Times New Roman" w:asciiTheme="minorEastAsia" w:hAnsiTheme="minorEastAsia" w:eastAsiaTheme="minorEastAsia"/>
          <w:b/>
          <w:bCs/>
          <w:sz w:val="24"/>
          <w:lang w:eastAsia="zh-CN"/>
        </w:rPr>
      </w:pPr>
      <w:r>
        <w:rPr>
          <w:rFonts w:hint="eastAsia" w:cs="Times New Roman" w:asciiTheme="minorEastAsia" w:hAnsiTheme="minorEastAsia" w:eastAsiaTheme="minorEastAsia"/>
          <w:b/>
          <w:bCs/>
          <w:sz w:val="24"/>
          <w:lang w:eastAsia="zh-CN"/>
        </w:rPr>
        <w:t>4.2判定原则</w:t>
      </w:r>
    </w:p>
    <w:p w14:paraId="291B36C7">
      <w:pPr>
        <w:spacing w:line="560" w:lineRule="exact"/>
        <w:ind w:firstLine="480" w:firstLineChars="200"/>
        <w:rPr>
          <w:rFonts w:hint="eastAsia" w:cs="方正仿宋_GBK" w:asciiTheme="minorEastAsia" w:hAnsiTheme="minorEastAsia" w:eastAsiaTheme="minorEastAsia"/>
          <w:sz w:val="24"/>
          <w:lang w:eastAsia="zh-CN"/>
        </w:rPr>
      </w:pPr>
      <w:r>
        <w:rPr>
          <w:rFonts w:hint="eastAsia" w:cs="方正仿宋_GBK" w:asciiTheme="minorEastAsia" w:hAnsiTheme="minorEastAsia" w:eastAsiaTheme="minorEastAsia"/>
          <w:sz w:val="24"/>
          <w:lang w:eastAsia="zh-CN"/>
        </w:rPr>
        <w:t>经检验，检验项目全部合格，判定为被抽查产品未发现不合格；检验项目中任一项或一项以上不合格，判定为被抽查产品不合格。</w:t>
      </w:r>
    </w:p>
    <w:p w14:paraId="5A91FEA9">
      <w:pPr>
        <w:spacing w:line="560" w:lineRule="exact"/>
        <w:ind w:firstLine="480" w:firstLineChars="200"/>
        <w:rPr>
          <w:rFonts w:hint="eastAsia" w:cs="方正仿宋_GBK" w:asciiTheme="minorEastAsia" w:hAnsiTheme="minorEastAsia" w:eastAsiaTheme="minorEastAsia"/>
          <w:sz w:val="24"/>
          <w:lang w:eastAsia="zh-CN"/>
        </w:rPr>
      </w:pPr>
      <w:r>
        <w:rPr>
          <w:rFonts w:hint="eastAsia" w:cs="方正仿宋_GBK" w:asciiTheme="minorEastAsia" w:hAnsiTheme="minorEastAsia" w:eastAsiaTheme="minorEastAsia"/>
          <w:sz w:val="24"/>
          <w:lang w:eastAsia="zh-CN"/>
        </w:rPr>
        <w:t>若被检产品明示的质量要求高于本细则中检验项目依据的标准要求时，应按被检产品明示的质量要求判定。</w:t>
      </w:r>
    </w:p>
    <w:p w14:paraId="5894BDCB">
      <w:pPr>
        <w:spacing w:line="560" w:lineRule="exact"/>
        <w:ind w:firstLine="480" w:firstLineChars="200"/>
        <w:rPr>
          <w:rFonts w:hint="eastAsia" w:cs="方正仿宋_GBK" w:asciiTheme="minorEastAsia" w:hAnsiTheme="minorEastAsia" w:eastAsiaTheme="minorEastAsia"/>
          <w:sz w:val="24"/>
          <w:lang w:eastAsia="zh-CN"/>
        </w:rPr>
      </w:pPr>
      <w:r>
        <w:rPr>
          <w:rFonts w:hint="eastAsia" w:cs="方正仿宋_GBK" w:asciiTheme="minorEastAsia" w:hAnsiTheme="minorEastAsia" w:eastAsiaTheme="minorEastAsia"/>
          <w:sz w:val="24"/>
          <w:lang w:eastAsia="zh-CN"/>
        </w:rPr>
        <w:t>若被检产品明示的质量要求低于本细则中检验项目依据的强制性标准要求时，应按照强制性标准要求判定。</w:t>
      </w:r>
    </w:p>
    <w:p w14:paraId="6A416CFE">
      <w:pPr>
        <w:spacing w:line="560" w:lineRule="exact"/>
        <w:ind w:firstLine="480" w:firstLineChars="200"/>
        <w:rPr>
          <w:rFonts w:hint="eastAsia" w:cs="方正仿宋_GBK" w:asciiTheme="minorEastAsia" w:hAnsiTheme="minorEastAsia" w:eastAsiaTheme="minorEastAsia"/>
          <w:sz w:val="24"/>
          <w:lang w:eastAsia="zh-CN"/>
        </w:rPr>
      </w:pPr>
      <w:r>
        <w:rPr>
          <w:rFonts w:hint="eastAsia" w:cs="方正仿宋_GBK" w:asciiTheme="minorEastAsia" w:hAnsiTheme="minorEastAsia" w:eastAsiaTheme="minorEastAsia"/>
          <w:sz w:val="24"/>
          <w:lang w:eastAsia="zh-CN"/>
        </w:rPr>
        <w:t>若被检产品明示的质量要求低于或包含细则中检验项目依据的推荐性标准要求时，应以被检产品明示的质量要求判定，但应在检验报告备注中进行说明。</w:t>
      </w:r>
    </w:p>
    <w:p w14:paraId="144B9813">
      <w:pPr>
        <w:spacing w:line="560" w:lineRule="exact"/>
        <w:ind w:firstLine="480" w:firstLineChars="200"/>
        <w:rPr>
          <w:rFonts w:hint="eastAsia" w:cs="方正仿宋_GBK" w:asciiTheme="minorEastAsia" w:hAnsiTheme="minorEastAsia" w:eastAsiaTheme="minorEastAsia"/>
          <w:sz w:val="24"/>
          <w:lang w:eastAsia="zh-CN"/>
        </w:rPr>
      </w:pPr>
      <w:r>
        <w:rPr>
          <w:rFonts w:hint="eastAsia" w:cs="方正仿宋_GBK" w:asciiTheme="minorEastAsia" w:hAnsiTheme="minorEastAsia" w:eastAsiaTheme="minorEastAsia"/>
          <w:sz w:val="24"/>
          <w:lang w:eastAsia="zh-CN"/>
        </w:rPr>
        <w:t>若被检产品明示的质量要求缺少本细则中检验项目依据的强制性标准要求时，应按照强制性标准要求判定。</w:t>
      </w:r>
    </w:p>
    <w:p w14:paraId="773A86F9">
      <w:pPr>
        <w:spacing w:line="560" w:lineRule="exact"/>
        <w:ind w:firstLine="480" w:firstLineChars="200"/>
        <w:rPr>
          <w:rFonts w:hint="eastAsia" w:ascii="方正仿宋_GBK" w:hAnsi="方正仿宋_GBK" w:eastAsia="方正仿宋_GBK" w:cs="方正仿宋_GBK"/>
          <w:sz w:val="32"/>
          <w:szCs w:val="32"/>
        </w:rPr>
      </w:pPr>
      <w:r>
        <w:rPr>
          <w:rFonts w:hint="eastAsia" w:cs="方正仿宋_GBK" w:asciiTheme="minorEastAsia" w:hAnsiTheme="minorEastAsia" w:eastAsiaTheme="minorEastAsia"/>
          <w:sz w:val="24"/>
          <w:lang w:eastAsia="zh-CN"/>
        </w:rPr>
        <w:t>若被检产品明示的质量要求缺少本细则中检验项目依据的推荐性标准要求时，该项目不参与判定，但应在检验报告备注中进行说明。</w:t>
      </w:r>
    </w:p>
    <w:p w14:paraId="56516BE1">
      <w:pPr>
        <w:spacing w:line="560" w:lineRule="exact"/>
        <w:ind w:firstLine="482" w:firstLineChars="200"/>
        <w:rPr>
          <w:rFonts w:hint="eastAsia" w:cs="Times New Roman" w:asciiTheme="minorEastAsia" w:hAnsiTheme="minorEastAsia" w:eastAsiaTheme="minorEastAsia"/>
          <w:b/>
          <w:bCs/>
          <w:sz w:val="24"/>
          <w:lang w:eastAsia="zh-CN"/>
        </w:rPr>
      </w:pPr>
      <w:r>
        <w:rPr>
          <w:rFonts w:hint="eastAsia" w:cs="Times New Roman" w:asciiTheme="minorEastAsia" w:hAnsiTheme="minorEastAsia" w:eastAsiaTheme="minorEastAsia"/>
          <w:b/>
          <w:bCs/>
          <w:sz w:val="24"/>
          <w:lang w:eastAsia="zh-CN"/>
        </w:rPr>
        <w:t>5.异议处理</w:t>
      </w:r>
    </w:p>
    <w:p w14:paraId="21246E93">
      <w:pPr>
        <w:spacing w:line="560" w:lineRule="exact"/>
        <w:ind w:firstLine="480" w:firstLineChars="200"/>
        <w:rPr>
          <w:rFonts w:hint="eastAsia" w:cs="方正仿宋_GBK" w:asciiTheme="minorEastAsia" w:hAnsiTheme="minorEastAsia" w:eastAsiaTheme="minorEastAsia"/>
          <w:sz w:val="24"/>
          <w:lang w:eastAsia="zh-CN"/>
        </w:rPr>
      </w:pPr>
      <w:r>
        <w:rPr>
          <w:rFonts w:hint="eastAsia" w:cs="方正仿宋_GBK" w:asciiTheme="minorEastAsia" w:hAnsiTheme="minorEastAsia" w:eastAsiaTheme="minorEastAsia"/>
          <w:sz w:val="24"/>
          <w:lang w:eastAsia="zh-CN"/>
        </w:rPr>
        <w:t>5.1对监督抽查程序有异议的，由任务下达部门核查相关证据后维持或者撤销原检验结果。</w:t>
      </w:r>
    </w:p>
    <w:p w14:paraId="7D80CB06">
      <w:pPr>
        <w:spacing w:line="560" w:lineRule="exact"/>
        <w:ind w:firstLine="480" w:firstLineChars="200"/>
        <w:rPr>
          <w:rFonts w:hint="eastAsia" w:cs="方正仿宋_GBK" w:asciiTheme="minorEastAsia" w:hAnsiTheme="minorEastAsia" w:eastAsiaTheme="minorEastAsia"/>
          <w:sz w:val="24"/>
          <w:lang w:eastAsia="zh-CN"/>
        </w:rPr>
      </w:pPr>
      <w:r>
        <w:rPr>
          <w:rFonts w:hint="eastAsia" w:cs="方正仿宋_GBK" w:asciiTheme="minorEastAsia" w:hAnsiTheme="minorEastAsia" w:eastAsiaTheme="minorEastAsia"/>
          <w:sz w:val="24"/>
          <w:lang w:eastAsia="zh-CN"/>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40800EA8">
      <w:pPr>
        <w:spacing w:line="560" w:lineRule="exact"/>
        <w:ind w:firstLine="480" w:firstLineChars="200"/>
        <w:rPr>
          <w:rFonts w:hint="eastAsia" w:cs="方正仿宋_GBK" w:asciiTheme="minorEastAsia" w:hAnsiTheme="minorEastAsia" w:eastAsiaTheme="minorEastAsia"/>
          <w:sz w:val="24"/>
          <w:lang w:eastAsia="zh-CN"/>
        </w:rPr>
      </w:pPr>
      <w:r>
        <w:rPr>
          <w:rFonts w:hint="eastAsia" w:cs="方正仿宋_GBK" w:asciiTheme="minorEastAsia" w:hAnsiTheme="minorEastAsia" w:eastAsiaTheme="minorEastAsia"/>
          <w:sz w:val="24"/>
          <w:lang w:eastAsia="zh-CN"/>
        </w:rPr>
        <w:t>5.3对样品信息有异议的，任务下达部门核查样品确认情况和生产企业提交证明材料后，维持或者撤销原检验结果。</w:t>
      </w:r>
    </w:p>
    <w:p w14:paraId="7AACFA7A">
      <w:pPr>
        <w:spacing w:line="560" w:lineRule="exact"/>
        <w:ind w:firstLine="480" w:firstLineChars="200"/>
        <w:rPr>
          <w:rFonts w:hint="default" w:cs="方正仿宋_GBK" w:asciiTheme="minorEastAsia" w:hAnsiTheme="minorEastAsia" w:eastAsiaTheme="minorEastAsia"/>
          <w:sz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方正仿宋_GBK">
    <w:altName w:val="微软雅黑"/>
    <w:panose1 w:val="02000000000000000000"/>
    <w:charset w:val="86"/>
    <w:family w:val="auto"/>
    <w:pitch w:val="default"/>
    <w:sig w:usb0="00000000" w:usb1="00000000" w:usb2="00082016" w:usb3="00000000" w:csb0="00040001" w:csb1="00000000"/>
  </w:font>
  <w:font w:name="KSOF8080F95D">
    <w:panose1 w:val="020B0503020204020204"/>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chineseCountingThousand"/>
      <w:suff w:val="nothing"/>
      <w:lvlText w:val="第%1章"/>
      <w:lvlJc w:val="left"/>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WFjOTVhMjMyYzBhZjk3NDBjMWI1ZjdjZWNkNjQ0ZGUifQ=="/>
  </w:docVars>
  <w:rsids>
    <w:rsidRoot w:val="00994F91"/>
    <w:rsid w:val="00033E88"/>
    <w:rsid w:val="00074C1B"/>
    <w:rsid w:val="00080FC5"/>
    <w:rsid w:val="000A502C"/>
    <w:rsid w:val="00177E53"/>
    <w:rsid w:val="001A7A45"/>
    <w:rsid w:val="001E7975"/>
    <w:rsid w:val="0022093B"/>
    <w:rsid w:val="00233572"/>
    <w:rsid w:val="00254D2F"/>
    <w:rsid w:val="00292B67"/>
    <w:rsid w:val="002E4EAA"/>
    <w:rsid w:val="002F0F7D"/>
    <w:rsid w:val="0031151C"/>
    <w:rsid w:val="00325326"/>
    <w:rsid w:val="00362BBA"/>
    <w:rsid w:val="003B185A"/>
    <w:rsid w:val="003F52F7"/>
    <w:rsid w:val="00403671"/>
    <w:rsid w:val="00446234"/>
    <w:rsid w:val="0046127A"/>
    <w:rsid w:val="004D53F1"/>
    <w:rsid w:val="00547754"/>
    <w:rsid w:val="00556E6C"/>
    <w:rsid w:val="005C5B25"/>
    <w:rsid w:val="005D75BF"/>
    <w:rsid w:val="005F6D8B"/>
    <w:rsid w:val="0064143F"/>
    <w:rsid w:val="006B75A3"/>
    <w:rsid w:val="00706620"/>
    <w:rsid w:val="007255FD"/>
    <w:rsid w:val="00793664"/>
    <w:rsid w:val="00794A38"/>
    <w:rsid w:val="007A1628"/>
    <w:rsid w:val="007C65C6"/>
    <w:rsid w:val="007E4F6F"/>
    <w:rsid w:val="0080591C"/>
    <w:rsid w:val="008405B3"/>
    <w:rsid w:val="00884161"/>
    <w:rsid w:val="008F5B78"/>
    <w:rsid w:val="009843E7"/>
    <w:rsid w:val="00994F91"/>
    <w:rsid w:val="009D5BB0"/>
    <w:rsid w:val="009F1545"/>
    <w:rsid w:val="00A47B7A"/>
    <w:rsid w:val="00A51C6A"/>
    <w:rsid w:val="00A632EA"/>
    <w:rsid w:val="00AE3198"/>
    <w:rsid w:val="00B00D67"/>
    <w:rsid w:val="00BB3E94"/>
    <w:rsid w:val="00BD1B88"/>
    <w:rsid w:val="00BD22B1"/>
    <w:rsid w:val="00C56D8E"/>
    <w:rsid w:val="00C65A86"/>
    <w:rsid w:val="00CA6CAB"/>
    <w:rsid w:val="00CC5FBB"/>
    <w:rsid w:val="00CD0E47"/>
    <w:rsid w:val="00CD76CB"/>
    <w:rsid w:val="00CE4A71"/>
    <w:rsid w:val="00D1463F"/>
    <w:rsid w:val="00DA7853"/>
    <w:rsid w:val="00DB5DA0"/>
    <w:rsid w:val="00EE2CCD"/>
    <w:rsid w:val="00F8219E"/>
    <w:rsid w:val="00F82E37"/>
    <w:rsid w:val="00FD44FB"/>
    <w:rsid w:val="080312FD"/>
    <w:rsid w:val="0B373495"/>
    <w:rsid w:val="0DAB7D26"/>
    <w:rsid w:val="11EF6174"/>
    <w:rsid w:val="12C82F39"/>
    <w:rsid w:val="17D152E9"/>
    <w:rsid w:val="180725A6"/>
    <w:rsid w:val="188B7770"/>
    <w:rsid w:val="260B0867"/>
    <w:rsid w:val="2EB55486"/>
    <w:rsid w:val="36A52284"/>
    <w:rsid w:val="38F76CBB"/>
    <w:rsid w:val="3A8D0DB6"/>
    <w:rsid w:val="3AC23405"/>
    <w:rsid w:val="40D811E7"/>
    <w:rsid w:val="431A7EAE"/>
    <w:rsid w:val="43430E5B"/>
    <w:rsid w:val="48341DE7"/>
    <w:rsid w:val="483A4C12"/>
    <w:rsid w:val="4B1F5D09"/>
    <w:rsid w:val="4BC753AA"/>
    <w:rsid w:val="4CCA0475"/>
    <w:rsid w:val="4DC2728B"/>
    <w:rsid w:val="4F7D74A2"/>
    <w:rsid w:val="56225A6D"/>
    <w:rsid w:val="579508DF"/>
    <w:rsid w:val="5B1761D0"/>
    <w:rsid w:val="5B635874"/>
    <w:rsid w:val="5C281E41"/>
    <w:rsid w:val="5C553C81"/>
    <w:rsid w:val="63322C27"/>
    <w:rsid w:val="67B55127"/>
    <w:rsid w:val="6A1D45A0"/>
    <w:rsid w:val="6F637338"/>
    <w:rsid w:val="6FA5151C"/>
    <w:rsid w:val="771D3195"/>
    <w:rsid w:val="78324A1E"/>
    <w:rsid w:val="7B8A201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Char"/>
    <w:basedOn w:val="7"/>
    <w:link w:val="5"/>
    <w:qFormat/>
    <w:uiPriority w:val="99"/>
    <w:rPr>
      <w:sz w:val="18"/>
      <w:szCs w:val="18"/>
    </w:rPr>
  </w:style>
  <w:style w:type="character" w:customStyle="1" w:styleId="9">
    <w:name w:val="页脚 Char"/>
    <w:basedOn w:val="7"/>
    <w:link w:val="4"/>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16B90C-B956-4FA6-879C-331EE5228D0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1064</Words>
  <Characters>1372</Characters>
  <Lines>15</Lines>
  <Paragraphs>4</Paragraphs>
  <TotalTime>0</TotalTime>
  <ScaleCrop>false</ScaleCrop>
  <LinksUpToDate>false</LinksUpToDate>
  <CharactersWithSpaces>1398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2020-04-07T02:36:00Z</dcterms:created>
  <dc:creator>PC</dc:creator>
  <cp:lastModifiedBy>杰克</cp:lastModifiedBy>
  <dcterms:modified xsi:type="dcterms:W3CDTF">2026-05-19T03:11:39Z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72CBDF558EB047888E6595D558F7709C</vt:lpwstr>
  </property>
  <property fmtid="{D5CDD505-2E9C-101B-9397-08002B2CF9AE}" pid="4" name="KSOSaveFontToCloudKey">
    <vt:lpwstr>559332025_btnclosed</vt:lpwstr>
  </property>
  <property fmtid="{D5CDD505-2E9C-101B-9397-08002B2CF9AE}" pid="5" name="KSOTemplateDocerSaveRecord">
    <vt:lpwstr>eyJoZGlkIjoiMTJkYzhjY2U0MjBkODY3NjJkMGIyYTQ0MzY3ODNhMDUiLCJ1c2VySWQiOiIyNjYzODU4MDgifQ==</vt:lpwstr>
  </property>
</Properties>
</file>